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FEA3E" w14:textId="77777777" w:rsidR="003A4B75" w:rsidRDefault="00000000">
      <w:pPr>
        <w:spacing w:line="500" w:lineRule="exact"/>
        <w:jc w:val="center"/>
        <w:rPr>
          <w:rFonts w:ascii="方正小标宋简体" w:eastAsia="方正小标宋简体" w:hAnsi="方正小标宋简体" w:cs="Times New Roman" w:hint="eastAsia"/>
          <w:sz w:val="44"/>
          <w:szCs w:val="44"/>
        </w:rPr>
      </w:pPr>
      <w:r>
        <w:rPr>
          <w:rFonts w:ascii="方正小标宋简体" w:eastAsia="方正小标宋简体" w:hAnsi="方正小标宋简体" w:cs="Times New Roman"/>
          <w:sz w:val="44"/>
          <w:szCs w:val="44"/>
        </w:rPr>
        <w:t>四川农商银行手机闪付业务服务协议</w:t>
      </w:r>
    </w:p>
    <w:p w14:paraId="761EA7BF" w14:textId="77777777" w:rsidR="003A4B75" w:rsidRDefault="003A4B75">
      <w:pPr>
        <w:spacing w:line="500" w:lineRule="exact"/>
        <w:ind w:firstLineChars="200" w:firstLine="640"/>
        <w:rPr>
          <w:rFonts w:ascii="Times New Roman" w:hAnsi="Times New Roman" w:cs="Times New Roman"/>
        </w:rPr>
      </w:pPr>
    </w:p>
    <w:p w14:paraId="708E413D" w14:textId="16B7778C"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sz w:val="24"/>
          <w:szCs w:val="24"/>
        </w:rPr>
        <w:t>客户（以下称</w:t>
      </w:r>
      <w:r>
        <w:rPr>
          <w:rFonts w:ascii="Times New Roman" w:hAnsi="Times New Roman" w:cs="Times New Roman" w:hint="eastAsia"/>
          <w:sz w:val="24"/>
          <w:szCs w:val="24"/>
        </w:rPr>
        <w:t>“</w:t>
      </w:r>
      <w:r>
        <w:rPr>
          <w:rFonts w:ascii="Times New Roman" w:hAnsi="Times New Roman" w:cs="Times New Roman"/>
          <w:sz w:val="24"/>
          <w:szCs w:val="24"/>
        </w:rPr>
        <w:t>甲方</w:t>
      </w:r>
      <w:r>
        <w:rPr>
          <w:rFonts w:ascii="Times New Roman" w:hAnsi="Times New Roman" w:cs="Times New Roman" w:hint="eastAsia"/>
          <w:sz w:val="24"/>
          <w:szCs w:val="24"/>
        </w:rPr>
        <w:t>”</w:t>
      </w:r>
      <w:r>
        <w:rPr>
          <w:rFonts w:ascii="Times New Roman" w:hAnsi="Times New Roman" w:cs="Times New Roman"/>
          <w:sz w:val="24"/>
          <w:szCs w:val="24"/>
        </w:rPr>
        <w:t>）与四川农商银行（包括四川农商联合银行及所辖各市县农商银行，以下称</w:t>
      </w:r>
      <w:r>
        <w:rPr>
          <w:rFonts w:ascii="Times New Roman" w:hAnsi="Times New Roman" w:cs="Times New Roman" w:hint="eastAsia"/>
          <w:sz w:val="24"/>
          <w:szCs w:val="24"/>
        </w:rPr>
        <w:t>“</w:t>
      </w:r>
      <w:r>
        <w:rPr>
          <w:rFonts w:ascii="Times New Roman" w:hAnsi="Times New Roman" w:cs="Times New Roman"/>
          <w:sz w:val="24"/>
          <w:szCs w:val="24"/>
        </w:rPr>
        <w:t>乙方</w:t>
      </w:r>
      <w:r>
        <w:rPr>
          <w:rFonts w:ascii="Times New Roman" w:hAnsi="Times New Roman" w:cs="Times New Roman" w:hint="eastAsia"/>
          <w:sz w:val="24"/>
          <w:szCs w:val="24"/>
        </w:rPr>
        <w:t>”</w:t>
      </w:r>
      <w:r>
        <w:rPr>
          <w:rFonts w:ascii="Times New Roman" w:hAnsi="Times New Roman" w:cs="Times New Roman"/>
          <w:sz w:val="24"/>
          <w:szCs w:val="24"/>
        </w:rPr>
        <w:t>）本着平等互利的原则</w:t>
      </w:r>
      <w:r>
        <w:rPr>
          <w:rFonts w:ascii="Times New Roman" w:hAnsi="Times New Roman" w:cs="Times New Roman" w:hint="eastAsia"/>
          <w:sz w:val="24"/>
          <w:szCs w:val="24"/>
        </w:rPr>
        <w:t>，</w:t>
      </w:r>
      <w:r>
        <w:rPr>
          <w:rFonts w:ascii="Times New Roman" w:hAnsi="Times New Roman" w:cs="Times New Roman"/>
          <w:sz w:val="24"/>
          <w:szCs w:val="24"/>
        </w:rPr>
        <w:t>就</w:t>
      </w:r>
      <w:r>
        <w:rPr>
          <w:rFonts w:ascii="Times New Roman" w:hAnsi="Times New Roman" w:cs="Times New Roman" w:hint="eastAsia"/>
          <w:sz w:val="24"/>
          <w:szCs w:val="24"/>
        </w:rPr>
        <w:t>“</w:t>
      </w:r>
      <w:r>
        <w:rPr>
          <w:rFonts w:ascii="Times New Roman" w:hAnsi="Times New Roman" w:cs="Times New Roman"/>
          <w:sz w:val="24"/>
          <w:szCs w:val="24"/>
        </w:rPr>
        <w:t>手机闪付</w:t>
      </w:r>
      <w:r>
        <w:rPr>
          <w:rFonts w:ascii="Times New Roman" w:hAnsi="Times New Roman" w:cs="Times New Roman" w:hint="eastAsia"/>
          <w:sz w:val="24"/>
          <w:szCs w:val="24"/>
        </w:rPr>
        <w:t>”</w:t>
      </w:r>
      <w:r>
        <w:rPr>
          <w:rFonts w:ascii="Times New Roman" w:hAnsi="Times New Roman" w:cs="Times New Roman"/>
          <w:sz w:val="24"/>
          <w:szCs w:val="24"/>
        </w:rPr>
        <w:t>业务达成以下协议。</w:t>
      </w:r>
    </w:p>
    <w:p w14:paraId="50CC3BCE" w14:textId="77777777" w:rsidR="003A4B75" w:rsidRDefault="00000000">
      <w:pPr>
        <w:spacing w:line="500" w:lineRule="exact"/>
        <w:ind w:firstLineChars="200" w:firstLine="482"/>
        <w:rPr>
          <w:rFonts w:ascii="Times New Roman" w:hAnsi="Times New Roman" w:cs="Times New Roman"/>
          <w:b/>
          <w:bCs/>
          <w:sz w:val="24"/>
          <w:szCs w:val="24"/>
        </w:rPr>
      </w:pPr>
      <w:r>
        <w:rPr>
          <w:rFonts w:ascii="Times New Roman" w:hAnsi="Times New Roman" w:cs="Times New Roman"/>
          <w:b/>
          <w:bCs/>
          <w:sz w:val="24"/>
          <w:szCs w:val="24"/>
        </w:rPr>
        <w:t>在接受本协议前，请甲方仔细阅读本协议的全部内容（特别是含有黑体字标题或文字加粗的条款），特别关注本协议中关于甲</w:t>
      </w:r>
      <w:r>
        <w:rPr>
          <w:rFonts w:ascii="Times New Roman" w:hAnsi="Times New Roman" w:cs="Times New Roman" w:hint="eastAsia"/>
          <w:b/>
          <w:bCs/>
          <w:sz w:val="24"/>
          <w:szCs w:val="24"/>
        </w:rPr>
        <w:t>乙双</w:t>
      </w:r>
      <w:r>
        <w:rPr>
          <w:rFonts w:ascii="Times New Roman" w:hAnsi="Times New Roman" w:cs="Times New Roman"/>
          <w:b/>
          <w:bCs/>
          <w:sz w:val="24"/>
          <w:szCs w:val="24"/>
        </w:rPr>
        <w:t>方权利</w:t>
      </w:r>
      <w:r>
        <w:rPr>
          <w:rFonts w:ascii="Times New Roman" w:hAnsi="Times New Roman" w:cs="Times New Roman" w:hint="eastAsia"/>
          <w:b/>
          <w:bCs/>
          <w:sz w:val="24"/>
          <w:szCs w:val="24"/>
        </w:rPr>
        <w:t>和</w:t>
      </w:r>
      <w:r>
        <w:rPr>
          <w:rFonts w:ascii="Times New Roman" w:hAnsi="Times New Roman" w:cs="Times New Roman"/>
          <w:b/>
          <w:bCs/>
          <w:sz w:val="24"/>
          <w:szCs w:val="24"/>
        </w:rPr>
        <w:t>义务及其他加粗显示的相关内容，甲方点击或者勾选</w:t>
      </w:r>
      <w:r>
        <w:rPr>
          <w:rFonts w:ascii="Times New Roman" w:hAnsi="Times New Roman" w:cs="Times New Roman" w:hint="eastAsia"/>
          <w:b/>
          <w:bCs/>
          <w:sz w:val="24"/>
          <w:szCs w:val="24"/>
        </w:rPr>
        <w:t>“</w:t>
      </w:r>
      <w:r>
        <w:rPr>
          <w:rFonts w:ascii="Times New Roman" w:hAnsi="Times New Roman" w:cs="Times New Roman"/>
          <w:b/>
          <w:bCs/>
          <w:sz w:val="24"/>
          <w:szCs w:val="24"/>
        </w:rPr>
        <w:t>确定</w:t>
      </w:r>
      <w:r>
        <w:rPr>
          <w:rFonts w:ascii="Times New Roman" w:hAnsi="Times New Roman" w:cs="Times New Roman" w:hint="eastAsia"/>
          <w:b/>
          <w:bCs/>
          <w:sz w:val="24"/>
          <w:szCs w:val="24"/>
        </w:rPr>
        <w:t>”</w:t>
      </w:r>
      <w:r>
        <w:rPr>
          <w:rFonts w:ascii="Times New Roman" w:hAnsi="Times New Roman" w:cs="Times New Roman"/>
          <w:b/>
          <w:bCs/>
          <w:sz w:val="24"/>
          <w:szCs w:val="24"/>
        </w:rPr>
        <w:t>或</w:t>
      </w:r>
      <w:r>
        <w:rPr>
          <w:rFonts w:ascii="Times New Roman" w:hAnsi="Times New Roman" w:cs="Times New Roman" w:hint="eastAsia"/>
          <w:b/>
          <w:bCs/>
          <w:sz w:val="24"/>
          <w:szCs w:val="24"/>
        </w:rPr>
        <w:t>“</w:t>
      </w:r>
      <w:r>
        <w:rPr>
          <w:rFonts w:ascii="Times New Roman" w:hAnsi="Times New Roman" w:cs="Times New Roman"/>
          <w:b/>
          <w:bCs/>
          <w:sz w:val="24"/>
          <w:szCs w:val="24"/>
        </w:rPr>
        <w:t>同意</w:t>
      </w:r>
      <w:r>
        <w:rPr>
          <w:rFonts w:ascii="Times New Roman" w:hAnsi="Times New Roman" w:cs="Times New Roman" w:hint="eastAsia"/>
          <w:b/>
          <w:bCs/>
          <w:sz w:val="24"/>
          <w:szCs w:val="24"/>
        </w:rPr>
        <w:t>”</w:t>
      </w:r>
      <w:r>
        <w:rPr>
          <w:rFonts w:ascii="Times New Roman" w:hAnsi="Times New Roman" w:cs="Times New Roman"/>
          <w:b/>
          <w:bCs/>
          <w:sz w:val="24"/>
          <w:szCs w:val="24"/>
        </w:rPr>
        <w:t>等操作，即表示已全部知晓并充分理解协议内容，严格遵守协议条款。如果甲方不同意本协议有关内容，或者无法准确理解乙方对条款的解释，请不要进行相关操作。</w:t>
      </w:r>
    </w:p>
    <w:p w14:paraId="20F6B674" w14:textId="77777777" w:rsidR="003A4B75" w:rsidRDefault="00000000">
      <w:pPr>
        <w:spacing w:line="500" w:lineRule="exact"/>
        <w:ind w:firstLineChars="200" w:firstLine="482"/>
        <w:rPr>
          <w:rFonts w:ascii="Times New Roman" w:hAnsi="Times New Roman" w:cs="Times New Roman"/>
          <w:sz w:val="24"/>
          <w:szCs w:val="24"/>
        </w:rPr>
      </w:pPr>
      <w:r>
        <w:rPr>
          <w:rFonts w:ascii="Times New Roman" w:hAnsi="Times New Roman" w:cs="Times New Roman" w:hint="eastAsia"/>
          <w:b/>
          <w:bCs/>
          <w:sz w:val="24"/>
          <w:szCs w:val="24"/>
        </w:rPr>
        <w:t>第一条</w:t>
      </w:r>
      <w:r>
        <w:rPr>
          <w:rFonts w:ascii="Times New Roman" w:hAnsi="Times New Roman" w:cs="Times New Roman" w:hint="eastAsia"/>
          <w:b/>
          <w:bCs/>
          <w:sz w:val="24"/>
          <w:szCs w:val="24"/>
        </w:rPr>
        <w:t xml:space="preserve"> </w:t>
      </w:r>
      <w:r>
        <w:rPr>
          <w:rFonts w:ascii="Times New Roman" w:hAnsi="Times New Roman" w:cs="Times New Roman" w:hint="eastAsia"/>
          <w:b/>
          <w:bCs/>
          <w:sz w:val="24"/>
          <w:szCs w:val="24"/>
        </w:rPr>
        <w:t>术语及解释</w:t>
      </w:r>
    </w:p>
    <w:p w14:paraId="4421B704"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sz w:val="24"/>
          <w:szCs w:val="24"/>
        </w:rPr>
        <w:t>如无特别说明，下列用语在本协议中的含义为：</w:t>
      </w:r>
    </w:p>
    <w:p w14:paraId="2B52497A" w14:textId="77777777" w:rsidR="003A4B75" w:rsidRDefault="00000000">
      <w:pPr>
        <w:numPr>
          <w:ilvl w:val="255"/>
          <w:numId w:val="0"/>
        </w:numPr>
        <w:spacing w:line="500" w:lineRule="exact"/>
        <w:ind w:firstLineChars="200" w:firstLine="480"/>
        <w:rPr>
          <w:rFonts w:ascii="Times New Roman" w:hAnsi="Times New Roman" w:cs="Times New Roman"/>
          <w:sz w:val="24"/>
          <w:szCs w:val="24"/>
        </w:rPr>
      </w:pPr>
      <w:r>
        <w:rPr>
          <w:rFonts w:ascii="Times New Roman" w:hAnsi="Times New Roman" w:cs="Times New Roman"/>
          <w:sz w:val="24"/>
          <w:szCs w:val="24"/>
        </w:rPr>
        <w:t>手机闪付</w:t>
      </w:r>
      <w:r>
        <w:rPr>
          <w:rFonts w:ascii="Times New Roman" w:hAnsi="Times New Roman" w:cs="Times New Roman" w:hint="eastAsia"/>
          <w:sz w:val="24"/>
          <w:szCs w:val="24"/>
        </w:rPr>
        <w:t>业务</w:t>
      </w:r>
      <w:r>
        <w:rPr>
          <w:rFonts w:ascii="Times New Roman" w:hAnsi="Times New Roman" w:cs="Times New Roman"/>
          <w:sz w:val="24"/>
          <w:szCs w:val="24"/>
        </w:rPr>
        <w:t>是</w:t>
      </w:r>
      <w:r>
        <w:rPr>
          <w:rFonts w:ascii="Times New Roman" w:hAnsi="Times New Roman" w:cs="Times New Roman" w:hint="eastAsia"/>
          <w:sz w:val="24"/>
          <w:szCs w:val="24"/>
        </w:rPr>
        <w:t>指乙方</w:t>
      </w:r>
      <w:r>
        <w:rPr>
          <w:rFonts w:ascii="Times New Roman" w:hAnsi="Times New Roman" w:cs="Times New Roman"/>
          <w:sz w:val="24"/>
          <w:szCs w:val="24"/>
        </w:rPr>
        <w:t>与中国银联股份有限公司（以下简称</w:t>
      </w:r>
      <w:r>
        <w:rPr>
          <w:rFonts w:ascii="Times New Roman" w:hAnsi="Times New Roman" w:cs="Times New Roman" w:hint="eastAsia"/>
          <w:sz w:val="24"/>
          <w:szCs w:val="24"/>
        </w:rPr>
        <w:t>“</w:t>
      </w:r>
      <w:r>
        <w:rPr>
          <w:rFonts w:ascii="Times New Roman" w:hAnsi="Times New Roman" w:cs="Times New Roman"/>
          <w:sz w:val="24"/>
          <w:szCs w:val="24"/>
        </w:rPr>
        <w:t>中国银联</w:t>
      </w:r>
      <w:r>
        <w:rPr>
          <w:rFonts w:ascii="Times New Roman" w:hAnsi="Times New Roman" w:cs="Times New Roman" w:hint="eastAsia"/>
          <w:sz w:val="24"/>
          <w:szCs w:val="24"/>
        </w:rPr>
        <w:t>”</w:t>
      </w:r>
      <w:r>
        <w:rPr>
          <w:rFonts w:ascii="Times New Roman" w:hAnsi="Times New Roman" w:cs="Times New Roman"/>
          <w:sz w:val="24"/>
          <w:szCs w:val="24"/>
        </w:rPr>
        <w:t>）合作，为甲方提供的基于移动设备</w:t>
      </w:r>
      <w:r>
        <w:rPr>
          <w:rFonts w:ascii="Times New Roman" w:hAnsi="Times New Roman" w:cs="Times New Roman" w:hint="eastAsia"/>
          <w:sz w:val="24"/>
          <w:szCs w:val="24"/>
        </w:rPr>
        <w:t>发起付款指令的</w:t>
      </w:r>
      <w:r>
        <w:rPr>
          <w:rFonts w:ascii="Times New Roman" w:hAnsi="Times New Roman" w:cs="Times New Roman"/>
          <w:sz w:val="24"/>
          <w:szCs w:val="24"/>
        </w:rPr>
        <w:t>的</w:t>
      </w:r>
      <w:r>
        <w:rPr>
          <w:rFonts w:ascii="Times New Roman" w:hAnsi="Times New Roman" w:cs="Times New Roman" w:hint="eastAsia"/>
          <w:sz w:val="24"/>
          <w:szCs w:val="24"/>
        </w:rPr>
        <w:t>一项</w:t>
      </w:r>
      <w:r>
        <w:rPr>
          <w:rFonts w:ascii="Times New Roman" w:hAnsi="Times New Roman" w:cs="Times New Roman"/>
          <w:sz w:val="24"/>
          <w:szCs w:val="24"/>
        </w:rPr>
        <w:t>支付业务。</w:t>
      </w:r>
    </w:p>
    <w:p w14:paraId="1EC87715" w14:textId="77777777" w:rsidR="003A4B75" w:rsidRDefault="00000000">
      <w:pPr>
        <w:numPr>
          <w:ilvl w:val="255"/>
          <w:numId w:val="0"/>
        </w:numPr>
        <w:spacing w:line="500" w:lineRule="exact"/>
        <w:ind w:firstLineChars="200" w:firstLine="482"/>
        <w:rPr>
          <w:rFonts w:ascii="Times New Roman" w:hAnsi="Times New Roman" w:cs="Times New Roman"/>
          <w:sz w:val="24"/>
          <w:szCs w:val="24"/>
        </w:rPr>
      </w:pPr>
      <w:r>
        <w:rPr>
          <w:rFonts w:ascii="Times New Roman" w:hAnsi="Times New Roman" w:cs="Times New Roman"/>
          <w:b/>
          <w:bCs/>
          <w:sz w:val="24"/>
          <w:szCs w:val="24"/>
        </w:rPr>
        <w:t>第二条</w:t>
      </w:r>
      <w:r>
        <w:rPr>
          <w:rFonts w:ascii="Times New Roman" w:hAnsi="Times New Roman" w:cs="Times New Roman"/>
          <w:b/>
          <w:bCs/>
          <w:sz w:val="24"/>
          <w:szCs w:val="24"/>
        </w:rPr>
        <w:t xml:space="preserve"> </w:t>
      </w:r>
      <w:r>
        <w:rPr>
          <w:rFonts w:ascii="Times New Roman" w:hAnsi="Times New Roman" w:cs="Times New Roman"/>
          <w:b/>
          <w:bCs/>
          <w:sz w:val="24"/>
          <w:szCs w:val="24"/>
        </w:rPr>
        <w:t>甲方权利和义务</w:t>
      </w:r>
    </w:p>
    <w:p w14:paraId="4632EBA9"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bCs/>
          <w:sz w:val="24"/>
          <w:szCs w:val="24"/>
        </w:rPr>
        <w:t>（一）</w:t>
      </w:r>
      <w:r>
        <w:rPr>
          <w:rFonts w:ascii="Times New Roman" w:hAnsi="Times New Roman" w:cs="Times New Roman"/>
          <w:sz w:val="24"/>
          <w:szCs w:val="24"/>
        </w:rPr>
        <w:t>甲方</w:t>
      </w:r>
      <w:r>
        <w:rPr>
          <w:rFonts w:ascii="Times New Roman" w:hAnsi="Times New Roman" w:cs="Times New Roman" w:hint="eastAsia"/>
          <w:sz w:val="24"/>
          <w:szCs w:val="24"/>
        </w:rPr>
        <w:t>使用乙方提供的本</w:t>
      </w:r>
      <w:r>
        <w:rPr>
          <w:rFonts w:ascii="Times New Roman" w:hAnsi="Times New Roman" w:cs="Times New Roman"/>
          <w:sz w:val="24"/>
          <w:szCs w:val="24"/>
        </w:rPr>
        <w:t>服务时，应当遵守本协议以及乙方不定期通过电子银行或营业网点等渠道公示的相关业务规则、通知、公告及声明。</w:t>
      </w:r>
    </w:p>
    <w:p w14:paraId="7AE1D389"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（二）</w:t>
      </w:r>
      <w:r>
        <w:rPr>
          <w:rFonts w:ascii="Times New Roman" w:hAnsi="Times New Roman" w:cs="Times New Roman"/>
          <w:bCs/>
          <w:sz w:val="24"/>
          <w:szCs w:val="24"/>
        </w:rPr>
        <w:t>甲方知悉并同意以下</w:t>
      </w:r>
      <w:r>
        <w:rPr>
          <w:rFonts w:ascii="Times New Roman" w:hAnsi="Times New Roman" w:cs="Times New Roman" w:hint="eastAsia"/>
          <w:bCs/>
          <w:sz w:val="24"/>
          <w:szCs w:val="24"/>
        </w:rPr>
        <w:t>手机闪付业务</w:t>
      </w:r>
      <w:r>
        <w:rPr>
          <w:rFonts w:ascii="Times New Roman" w:hAnsi="Times New Roman" w:cs="Times New Roman"/>
          <w:bCs/>
          <w:sz w:val="24"/>
          <w:szCs w:val="24"/>
        </w:rPr>
        <w:t>规则：</w:t>
      </w:r>
    </w:p>
    <w:p w14:paraId="783F1E67"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申请手机闪付业务时，甲方需通过一张已有的</w:t>
      </w:r>
      <w:r>
        <w:rPr>
          <w:rFonts w:ascii="Times New Roman" w:hAnsi="Times New Roman" w:cs="Times New Roman" w:hint="eastAsia"/>
          <w:sz w:val="24"/>
          <w:szCs w:val="24"/>
        </w:rPr>
        <w:t>在乙方开立的</w:t>
      </w:r>
      <w:r>
        <w:rPr>
          <w:rFonts w:ascii="Times New Roman" w:hAnsi="Times New Roman" w:cs="Times New Roman"/>
          <w:sz w:val="24"/>
          <w:szCs w:val="24"/>
        </w:rPr>
        <w:t>借记卡或信用卡申领云卡，云卡与用于申请手机闪付业务的借记卡或信用卡（以下简称</w:t>
      </w:r>
      <w:r>
        <w:rPr>
          <w:rFonts w:ascii="Times New Roman" w:hAnsi="Times New Roman" w:cs="Times New Roman" w:hint="eastAsia"/>
          <w:sz w:val="24"/>
          <w:szCs w:val="24"/>
        </w:rPr>
        <w:t>“</w:t>
      </w:r>
      <w:r>
        <w:rPr>
          <w:rFonts w:ascii="Times New Roman" w:hAnsi="Times New Roman" w:cs="Times New Roman"/>
          <w:sz w:val="24"/>
          <w:szCs w:val="24"/>
        </w:rPr>
        <w:t>关联卡</w:t>
      </w:r>
      <w:r>
        <w:rPr>
          <w:rFonts w:ascii="Times New Roman" w:hAnsi="Times New Roman" w:cs="Times New Roman" w:hint="eastAsia"/>
          <w:sz w:val="24"/>
          <w:szCs w:val="24"/>
        </w:rPr>
        <w:t>”</w:t>
      </w:r>
      <w:r>
        <w:rPr>
          <w:rFonts w:ascii="Times New Roman" w:hAnsi="Times New Roman" w:cs="Times New Roman"/>
          <w:sz w:val="24"/>
          <w:szCs w:val="24"/>
        </w:rPr>
        <w:t>）相关联。</w:t>
      </w:r>
    </w:p>
    <w:p w14:paraId="2AF27007"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hint="eastAsia"/>
          <w:sz w:val="24"/>
          <w:szCs w:val="24"/>
        </w:rPr>
        <w:t>云卡与关联卡使用同一账户，云卡的交易密码与关联卡一致。关联卡挂失，云卡将自动停用；关联卡注销，云卡将自动注销。云卡的所有交易将展现在关联卡对账单，甲方可通过乙方营业网点等渠道查询云卡卡号。</w:t>
      </w:r>
      <w:r>
        <w:rPr>
          <w:rFonts w:ascii="Times New Roman" w:hAnsi="Times New Roman" w:cs="Times New Roman"/>
          <w:sz w:val="24"/>
          <w:szCs w:val="24"/>
        </w:rPr>
        <w:t>云卡自动安装于移动设备内嵌的安全模块，甲方通过云卡使用手机闪付业务。</w:t>
      </w:r>
    </w:p>
    <w:p w14:paraId="40B957E1"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云卡激活后方能使用。激活云卡需校验甲方身份鉴别信息，包括但不限于关联卡的交易密码、短信激活码等，不同渠道需验证的甲方身份鉴别信息不同，</w:t>
      </w:r>
      <w:r>
        <w:rPr>
          <w:rFonts w:ascii="Times New Roman" w:hAnsi="Times New Roman" w:cs="Times New Roman"/>
          <w:sz w:val="24"/>
          <w:szCs w:val="24"/>
        </w:rPr>
        <w:lastRenderedPageBreak/>
        <w:t>以届时要求提供的信息为准。</w:t>
      </w:r>
    </w:p>
    <w:p w14:paraId="6CB15F4C"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4.</w:t>
      </w:r>
      <w:r w:rsidRPr="001D16B5">
        <w:rPr>
          <w:rFonts w:ascii="Times New Roman" w:hAnsi="Times New Roman" w:cs="Times New Roman" w:hint="eastAsia"/>
          <w:b/>
          <w:bCs/>
          <w:sz w:val="24"/>
          <w:szCs w:val="24"/>
        </w:rPr>
        <w:t>云卡成功激活后，自动开通小额免密免签功能</w:t>
      </w:r>
      <w:r>
        <w:rPr>
          <w:rFonts w:ascii="Times New Roman" w:hAnsi="Times New Roman" w:cs="Times New Roman"/>
          <w:sz w:val="24"/>
          <w:szCs w:val="24"/>
        </w:rPr>
        <w:t>，甲方可通过</w:t>
      </w:r>
      <w:r>
        <w:rPr>
          <w:rFonts w:ascii="Times New Roman" w:hAnsi="Times New Roman" w:cs="Times New Roman" w:hint="eastAsia"/>
          <w:sz w:val="24"/>
          <w:szCs w:val="24"/>
        </w:rPr>
        <w:t>乙方</w:t>
      </w:r>
      <w:r>
        <w:rPr>
          <w:rFonts w:ascii="Times New Roman" w:hAnsi="Times New Roman" w:cs="Times New Roman"/>
          <w:sz w:val="24"/>
          <w:szCs w:val="24"/>
        </w:rPr>
        <w:t>营业网点调整该功能的上限金额。上限金额的调整范围由</w:t>
      </w:r>
      <w:r>
        <w:rPr>
          <w:rFonts w:ascii="Times New Roman" w:hAnsi="Times New Roman" w:cs="Times New Roman" w:hint="eastAsia"/>
          <w:sz w:val="24"/>
          <w:szCs w:val="24"/>
        </w:rPr>
        <w:t>乙方</w:t>
      </w:r>
      <w:r>
        <w:rPr>
          <w:rFonts w:ascii="Times New Roman" w:hAnsi="Times New Roman" w:cs="Times New Roman"/>
          <w:sz w:val="24"/>
          <w:szCs w:val="24"/>
        </w:rPr>
        <w:t>设定并根据业务情况调整。</w:t>
      </w:r>
    </w:p>
    <w:p w14:paraId="152125F3"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（三）</w:t>
      </w:r>
      <w:r>
        <w:rPr>
          <w:rFonts w:ascii="Times New Roman" w:hAnsi="Times New Roman" w:cs="Times New Roman"/>
          <w:sz w:val="24"/>
          <w:szCs w:val="24"/>
        </w:rPr>
        <w:t>甲方应确保关联卡必须是本人所有，且申领过程中所使用的在</w:t>
      </w:r>
      <w:r>
        <w:rPr>
          <w:rFonts w:ascii="Times New Roman" w:hAnsi="Times New Roman" w:cs="Times New Roman" w:hint="eastAsia"/>
          <w:sz w:val="24"/>
          <w:szCs w:val="24"/>
        </w:rPr>
        <w:t>乙方</w:t>
      </w:r>
      <w:r>
        <w:rPr>
          <w:rFonts w:ascii="Times New Roman" w:hAnsi="Times New Roman" w:cs="Times New Roman"/>
          <w:sz w:val="24"/>
          <w:szCs w:val="24"/>
        </w:rPr>
        <w:t>系统登记的手机号码为甲方本人合法所有且正在使用的手机号码，否则因此造成的损失由甲方本人承担。</w:t>
      </w:r>
    </w:p>
    <w:p w14:paraId="4192FFE2"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（四）</w:t>
      </w:r>
      <w:r>
        <w:rPr>
          <w:rFonts w:ascii="Times New Roman" w:hAnsi="Times New Roman" w:cs="Times New Roman"/>
          <w:sz w:val="24"/>
          <w:szCs w:val="24"/>
        </w:rPr>
        <w:t>甲方签订本协议并成功开通手机闪付业务后，即视为甲方授权乙方按照甲方通过中国银联发出的交易指令从签约银行账户扣划资金。在此过程中，乙方按照甲方通过中国银联发出的指令行事，不对扣款指令进行实质性审核。甲方不得以未在交易单据中签名、非本人意愿交易、未验证银行卡支付密码等原因要求乙方退款或承担其他责任。</w:t>
      </w:r>
    </w:p>
    <w:p w14:paraId="71A13FF2"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（五）</w:t>
      </w:r>
      <w:r>
        <w:rPr>
          <w:rFonts w:ascii="Times New Roman" w:hAnsi="Times New Roman" w:cs="Times New Roman"/>
          <w:sz w:val="24"/>
          <w:szCs w:val="24"/>
        </w:rPr>
        <w:t>甲方同意</w:t>
      </w:r>
      <w:r>
        <w:rPr>
          <w:rFonts w:ascii="Times New Roman" w:hAnsi="Times New Roman" w:cs="Times New Roman" w:hint="eastAsia"/>
          <w:sz w:val="24"/>
          <w:szCs w:val="24"/>
        </w:rPr>
        <w:t>乙方</w:t>
      </w:r>
      <w:r>
        <w:rPr>
          <w:rFonts w:ascii="Times New Roman" w:hAnsi="Times New Roman" w:cs="Times New Roman"/>
          <w:sz w:val="24"/>
          <w:szCs w:val="24"/>
        </w:rPr>
        <w:t>为手机闪付业务使用并传递其个人资料，并保证所提供的银行卡卡号等信息真实有效。因甲方提供虚假信息而引起的法律责任由甲方自行承担。</w:t>
      </w:r>
    </w:p>
    <w:p w14:paraId="37B201E3" w14:textId="77777777" w:rsidR="003A4B75" w:rsidRDefault="00000000">
      <w:pPr>
        <w:spacing w:line="500" w:lineRule="exact"/>
        <w:ind w:firstLineChars="200" w:firstLine="482"/>
        <w:rPr>
          <w:rFonts w:ascii="Times New Roman" w:hAnsi="Times New Roman" w:cs="Times New Roman"/>
          <w:b/>
          <w:bCs/>
          <w:sz w:val="24"/>
          <w:szCs w:val="24"/>
        </w:rPr>
      </w:pPr>
      <w:r>
        <w:rPr>
          <w:rFonts w:ascii="Times New Roman" w:hAnsi="Times New Roman" w:cs="Times New Roman" w:hint="eastAsia"/>
          <w:b/>
          <w:bCs/>
          <w:sz w:val="24"/>
          <w:szCs w:val="24"/>
        </w:rPr>
        <w:t>（六）</w:t>
      </w:r>
      <w:r>
        <w:rPr>
          <w:rFonts w:ascii="Times New Roman" w:hAnsi="Times New Roman" w:cs="Times New Roman"/>
          <w:b/>
          <w:bCs/>
          <w:sz w:val="24"/>
          <w:szCs w:val="24"/>
        </w:rPr>
        <w:t>甲方不得将云卡转借、转租他人使用，因甲方将账户（包括但不限于云卡、关联卡）转借、转租他人使用或泄露资料所产生的风险及全部损失由甲方本人自行承担。</w:t>
      </w:r>
    </w:p>
    <w:p w14:paraId="2BF353F5"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（七）</w:t>
      </w:r>
      <w:r>
        <w:rPr>
          <w:rFonts w:ascii="Times New Roman" w:hAnsi="Times New Roman" w:cs="Times New Roman"/>
          <w:sz w:val="24"/>
          <w:szCs w:val="24"/>
        </w:rPr>
        <w:t>甲方需保证移动设备环境安全，因</w:t>
      </w:r>
      <w:r>
        <w:rPr>
          <w:rFonts w:ascii="Times New Roman" w:hAnsi="Times New Roman" w:cs="Times New Roman"/>
          <w:sz w:val="24"/>
          <w:szCs w:val="24"/>
        </w:rPr>
        <w:t>Root</w:t>
      </w:r>
      <w:r>
        <w:rPr>
          <w:rFonts w:ascii="Times New Roman" w:hAnsi="Times New Roman" w:cs="Times New Roman"/>
          <w:sz w:val="24"/>
          <w:szCs w:val="24"/>
        </w:rPr>
        <w:t>等危及设备环境安全操作导致的手机闪付交易风险由甲方自行承担。</w:t>
      </w:r>
    </w:p>
    <w:p w14:paraId="19353230" w14:textId="77777777" w:rsidR="003A4B75" w:rsidRDefault="00000000">
      <w:pPr>
        <w:spacing w:line="500" w:lineRule="exact"/>
        <w:ind w:firstLineChars="200" w:firstLine="482"/>
        <w:rPr>
          <w:rFonts w:ascii="Times New Roman" w:hAnsi="Times New Roman" w:cs="Times New Roman"/>
          <w:b/>
          <w:bCs/>
          <w:sz w:val="24"/>
          <w:szCs w:val="24"/>
        </w:rPr>
      </w:pPr>
      <w:r>
        <w:rPr>
          <w:rFonts w:ascii="Times New Roman" w:hAnsi="Times New Roman" w:cs="Times New Roman" w:hint="eastAsia"/>
          <w:b/>
          <w:bCs/>
          <w:sz w:val="24"/>
          <w:szCs w:val="24"/>
        </w:rPr>
        <w:t>（八）</w:t>
      </w:r>
      <w:r>
        <w:rPr>
          <w:rFonts w:ascii="Times New Roman" w:hAnsi="Times New Roman" w:cs="Times New Roman"/>
          <w:b/>
          <w:bCs/>
          <w:sz w:val="24"/>
          <w:szCs w:val="24"/>
        </w:rPr>
        <w:t>凭密码进行的交易均视作甲方本人行为，甲方应妥善保管云卡及交易密码，如移动设备遗失、被盗，甲方应立即通过</w:t>
      </w:r>
      <w:r>
        <w:rPr>
          <w:rFonts w:ascii="Times New Roman" w:hAnsi="Times New Roman" w:cs="Times New Roman" w:hint="eastAsia"/>
          <w:b/>
          <w:bCs/>
          <w:sz w:val="24"/>
          <w:szCs w:val="24"/>
        </w:rPr>
        <w:t>乙方</w:t>
      </w:r>
      <w:r>
        <w:rPr>
          <w:rFonts w:ascii="Times New Roman" w:hAnsi="Times New Roman" w:cs="Times New Roman"/>
          <w:b/>
          <w:bCs/>
          <w:sz w:val="24"/>
          <w:szCs w:val="24"/>
        </w:rPr>
        <w:t>营业网点</w:t>
      </w:r>
      <w:r>
        <w:rPr>
          <w:rFonts w:ascii="Times New Roman" w:hAnsi="Times New Roman" w:cs="Times New Roman" w:hint="eastAsia"/>
          <w:b/>
          <w:bCs/>
          <w:sz w:val="24"/>
          <w:szCs w:val="24"/>
        </w:rPr>
        <w:t>或电子银行等渠道</w:t>
      </w:r>
      <w:r>
        <w:rPr>
          <w:rFonts w:ascii="Times New Roman" w:hAnsi="Times New Roman" w:cs="Times New Roman"/>
          <w:b/>
          <w:bCs/>
          <w:sz w:val="24"/>
          <w:szCs w:val="24"/>
        </w:rPr>
        <w:t>办理停用或注销云卡手续，以减少可能发生的损失。因移动设备遗失、被盗，或身份信息及卡信息遗失、泄露等发生的所有损失均由甲方承担。</w:t>
      </w:r>
    </w:p>
    <w:p w14:paraId="2844286C" w14:textId="1E67025B" w:rsidR="003A4B75" w:rsidRDefault="00000000">
      <w:pPr>
        <w:spacing w:line="500" w:lineRule="exact"/>
        <w:ind w:firstLineChars="200" w:firstLine="480"/>
        <w:rPr>
          <w:rFonts w:ascii="Times New Roman" w:hAnsi="Times New Roman" w:cs="Times New Roman"/>
          <w:b/>
          <w:bCs/>
          <w:sz w:val="24"/>
          <w:szCs w:val="24"/>
        </w:rPr>
      </w:pPr>
      <w:r>
        <w:rPr>
          <w:rFonts w:ascii="Times New Roman" w:hAnsi="Times New Roman" w:cs="Times New Roman" w:hint="eastAsia"/>
          <w:sz w:val="24"/>
          <w:szCs w:val="24"/>
        </w:rPr>
        <w:t>（九）</w:t>
      </w:r>
      <w:r>
        <w:rPr>
          <w:rFonts w:ascii="Times New Roman" w:hAnsi="Times New Roman" w:cs="Times New Roman"/>
          <w:sz w:val="24"/>
          <w:szCs w:val="24"/>
        </w:rPr>
        <w:t>甲方不得利用</w:t>
      </w:r>
      <w:r>
        <w:rPr>
          <w:rFonts w:ascii="Times New Roman" w:hAnsi="Times New Roman" w:cs="Times New Roman" w:hint="eastAsia"/>
          <w:sz w:val="24"/>
          <w:szCs w:val="24"/>
        </w:rPr>
        <w:t>手机闪付</w:t>
      </w:r>
      <w:r>
        <w:rPr>
          <w:rFonts w:ascii="Times New Roman" w:hAnsi="Times New Roman" w:cs="Times New Roman"/>
          <w:sz w:val="24"/>
          <w:szCs w:val="24"/>
        </w:rPr>
        <w:t>业务进行套现、虚假交易、洗钱等违法行为，确保业务办理行为合法并未侵犯任何第三方合法权益。如若甲方存在或涉嫌</w:t>
      </w:r>
      <w:r>
        <w:rPr>
          <w:rFonts w:ascii="Times New Roman" w:hAnsi="Times New Roman" w:cs="Times New Roman" w:hint="eastAsia"/>
          <w:sz w:val="24"/>
          <w:szCs w:val="24"/>
        </w:rPr>
        <w:t>套现、</w:t>
      </w:r>
      <w:r>
        <w:rPr>
          <w:rFonts w:ascii="Times New Roman" w:hAnsi="Times New Roman" w:cs="Times New Roman"/>
          <w:sz w:val="24"/>
          <w:szCs w:val="24"/>
        </w:rPr>
        <w:t>虚假交易、洗钱等非法活动、欺诈或违反诚信原则的行为、或违反本协议约定的，乙方有权根据自身风险监测系统预警、监管机构通报或司法机关文书等客观依据，</w:t>
      </w:r>
      <w:r>
        <w:rPr>
          <w:rFonts w:ascii="Times New Roman" w:hAnsi="Times New Roman" w:cs="Times New Roman"/>
          <w:sz w:val="24"/>
          <w:szCs w:val="24"/>
        </w:rPr>
        <w:lastRenderedPageBreak/>
        <w:t>单方暂停或终止服务。甲方应自收到乙方调查通知之日起</w:t>
      </w:r>
      <w:r>
        <w:rPr>
          <w:rFonts w:ascii="Times New Roman" w:hAnsi="Times New Roman" w:cs="Times New Roman"/>
          <w:sz w:val="24"/>
          <w:szCs w:val="24"/>
        </w:rPr>
        <w:t>3</w:t>
      </w:r>
      <w:r>
        <w:rPr>
          <w:rFonts w:ascii="Times New Roman" w:hAnsi="Times New Roman" w:cs="Times New Roman"/>
          <w:sz w:val="24"/>
          <w:szCs w:val="24"/>
        </w:rPr>
        <w:t>个工作日内提供合理解释及证明材料，逾期未提供的视为违约。若因甲方的前述行为而给乙方造成损失的，甲方应负责赔偿并承担全部法律责任。乙方因此产生的合理费用（包括但不限于诉讼费、律师费等）均纳入赔偿范围。</w:t>
      </w:r>
    </w:p>
    <w:p w14:paraId="3E7E038A" w14:textId="77777777" w:rsidR="003A4B75" w:rsidRDefault="00000000">
      <w:pPr>
        <w:spacing w:line="500" w:lineRule="exact"/>
        <w:ind w:firstLineChars="200" w:firstLine="482"/>
        <w:rPr>
          <w:rFonts w:ascii="Times New Roman" w:hAnsi="Times New Roman" w:cs="Times New Roman"/>
          <w:b/>
          <w:bCs/>
          <w:sz w:val="24"/>
          <w:szCs w:val="24"/>
        </w:rPr>
      </w:pPr>
      <w:r>
        <w:rPr>
          <w:rFonts w:ascii="Times New Roman" w:hAnsi="Times New Roman" w:cs="Times New Roman"/>
          <w:b/>
          <w:bCs/>
          <w:sz w:val="24"/>
          <w:szCs w:val="24"/>
        </w:rPr>
        <w:t>第三条</w:t>
      </w:r>
      <w:r>
        <w:rPr>
          <w:rFonts w:ascii="Times New Roman" w:hAnsi="Times New Roman" w:cs="Times New Roman"/>
          <w:b/>
          <w:bCs/>
          <w:sz w:val="24"/>
          <w:szCs w:val="24"/>
        </w:rPr>
        <w:t xml:space="preserve"> </w:t>
      </w:r>
      <w:r>
        <w:rPr>
          <w:rFonts w:ascii="Times New Roman" w:hAnsi="Times New Roman" w:cs="Times New Roman"/>
          <w:b/>
          <w:bCs/>
          <w:sz w:val="24"/>
          <w:szCs w:val="24"/>
        </w:rPr>
        <w:t>乙方权利和义务</w:t>
      </w:r>
    </w:p>
    <w:p w14:paraId="4AB0D2AF" w14:textId="77777777" w:rsidR="003A4B75" w:rsidRDefault="00000000">
      <w:pPr>
        <w:numPr>
          <w:ilvl w:val="255"/>
          <w:numId w:val="0"/>
        </w:numPr>
        <w:spacing w:line="500" w:lineRule="exact"/>
        <w:ind w:firstLineChars="200" w:firstLine="480"/>
        <w:rPr>
          <w:rFonts w:ascii="Times New Roman" w:hAnsi="Times New Roman" w:cs="Times New Roman"/>
          <w:b/>
          <w:bCs/>
          <w:sz w:val="24"/>
          <w:szCs w:val="24"/>
        </w:rPr>
      </w:pPr>
      <w:r>
        <w:rPr>
          <w:rFonts w:ascii="Times New Roman" w:hAnsi="Times New Roman" w:cs="Times New Roman"/>
          <w:sz w:val="24"/>
          <w:szCs w:val="24"/>
        </w:rPr>
        <w:t>（</w:t>
      </w:r>
      <w:r>
        <w:rPr>
          <w:rFonts w:ascii="Times New Roman" w:hAnsi="Times New Roman" w:cs="Times New Roman" w:hint="eastAsia"/>
          <w:sz w:val="24"/>
          <w:szCs w:val="24"/>
        </w:rPr>
        <w:t>一</w:t>
      </w:r>
      <w:r>
        <w:rPr>
          <w:rFonts w:ascii="Times New Roman" w:hAnsi="Times New Roman" w:cs="Times New Roman"/>
          <w:sz w:val="24"/>
          <w:szCs w:val="24"/>
        </w:rPr>
        <w:t>）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信息保护和规范按照《四川农商银行隐私政策</w:t>
      </w:r>
      <w:r>
        <w:rPr>
          <w:rFonts w:ascii="Times New Roman" w:hAnsi="Times New Roman" w:cs="Times New Roman" w:hint="eastAsia"/>
          <w:sz w:val="24"/>
          <w:szCs w:val="24"/>
        </w:rPr>
        <w:t>（个人版）</w:t>
      </w:r>
      <w:r>
        <w:rPr>
          <w:rFonts w:ascii="Times New Roman" w:hAnsi="Times New Roman" w:cs="Times New Roman"/>
          <w:sz w:val="24"/>
          <w:szCs w:val="24"/>
        </w:rPr>
        <w:t>》执行。甲方同意乙方有权向行政执法机关提供相关系统日志及交易数据配合调查。</w:t>
      </w:r>
    </w:p>
    <w:p w14:paraId="6A9F9E6A" w14:textId="487D4AA9" w:rsidR="003A4B75" w:rsidRDefault="00000000">
      <w:pPr>
        <w:spacing w:line="500" w:lineRule="exact"/>
        <w:ind w:firstLineChars="200" w:firstLine="480"/>
        <w:rPr>
          <w:rFonts w:ascii="Times New Roman" w:hAnsi="Times New Roman" w:cs="Times New Roman"/>
          <w:b/>
          <w:bCs/>
          <w:sz w:val="24"/>
          <w:szCs w:val="24"/>
        </w:rPr>
      </w:pPr>
      <w:r>
        <w:rPr>
          <w:rFonts w:ascii="Times New Roman" w:hAnsi="Times New Roman" w:cs="Times New Roman"/>
          <w:sz w:val="24"/>
          <w:szCs w:val="24"/>
        </w:rPr>
        <w:t>（</w:t>
      </w:r>
      <w:r>
        <w:rPr>
          <w:rFonts w:ascii="Times New Roman" w:hAnsi="Times New Roman" w:cs="Times New Roman" w:hint="eastAsia"/>
          <w:sz w:val="24"/>
          <w:szCs w:val="24"/>
        </w:rPr>
        <w:t>二</w:t>
      </w:r>
      <w:r>
        <w:rPr>
          <w:rFonts w:ascii="Times New Roman" w:hAnsi="Times New Roman" w:cs="Times New Roman"/>
          <w:sz w:val="24"/>
          <w:szCs w:val="24"/>
        </w:rPr>
        <w:t>）除有相反证据证明外，乙方系统产生</w:t>
      </w:r>
      <w:r>
        <w:rPr>
          <w:rFonts w:ascii="Times New Roman" w:hAnsi="Times New Roman" w:cs="Times New Roman" w:hint="eastAsia"/>
          <w:sz w:val="24"/>
          <w:szCs w:val="24"/>
        </w:rPr>
        <w:t>的</w:t>
      </w:r>
      <w:r>
        <w:rPr>
          <w:rFonts w:ascii="Times New Roman" w:hAnsi="Times New Roman" w:cs="Times New Roman"/>
          <w:sz w:val="24"/>
          <w:szCs w:val="24"/>
        </w:rPr>
        <w:t>凭证和银行交易记录是确定交易</w:t>
      </w:r>
      <w:r>
        <w:rPr>
          <w:rFonts w:ascii="Times New Roman" w:hAnsi="Times New Roman" w:cs="Times New Roman" w:hint="eastAsia"/>
          <w:sz w:val="24"/>
          <w:szCs w:val="24"/>
        </w:rPr>
        <w:t>内容</w:t>
      </w:r>
      <w:r>
        <w:rPr>
          <w:rFonts w:ascii="Times New Roman" w:hAnsi="Times New Roman" w:cs="Times New Roman"/>
          <w:sz w:val="24"/>
          <w:szCs w:val="24"/>
        </w:rPr>
        <w:t>真实有效的依据。</w:t>
      </w:r>
    </w:p>
    <w:p w14:paraId="091A6792"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（三）</w:t>
      </w:r>
      <w:r>
        <w:rPr>
          <w:rFonts w:ascii="Times New Roman" w:hAnsi="Times New Roman" w:cs="Times New Roman"/>
          <w:sz w:val="24"/>
          <w:szCs w:val="24"/>
        </w:rPr>
        <w:t>乙方仅为甲方提供安全可靠的支付结算服务，关于商品、服务及费用扣收的争议以及因中国银联原因产生的风险事件均由甲方与中国银联及其商户自行协商解决，与乙方无关。</w:t>
      </w:r>
    </w:p>
    <w:p w14:paraId="6E1B1A3E" w14:textId="77777777"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（四）</w:t>
      </w:r>
      <w:r>
        <w:rPr>
          <w:rFonts w:ascii="Times New Roman" w:hAnsi="Times New Roman" w:cs="Times New Roman"/>
          <w:sz w:val="24"/>
          <w:szCs w:val="24"/>
        </w:rPr>
        <w:t>甲方不得利用手机闪付进行虚假交易、洗钱等违法违规行为，且有义务配合</w:t>
      </w:r>
      <w:r>
        <w:rPr>
          <w:rFonts w:ascii="Times New Roman" w:hAnsi="Times New Roman" w:cs="Times New Roman" w:hint="eastAsia"/>
          <w:sz w:val="24"/>
          <w:szCs w:val="24"/>
        </w:rPr>
        <w:t>乙方</w:t>
      </w:r>
      <w:r>
        <w:rPr>
          <w:rFonts w:ascii="Times New Roman" w:hAnsi="Times New Roman" w:cs="Times New Roman"/>
          <w:sz w:val="24"/>
          <w:szCs w:val="24"/>
        </w:rPr>
        <w:t>进行相关调查。如甲方拒绝配合</w:t>
      </w:r>
      <w:r>
        <w:rPr>
          <w:rFonts w:ascii="Times New Roman" w:hAnsi="Times New Roman" w:cs="Times New Roman" w:hint="eastAsia"/>
          <w:sz w:val="24"/>
          <w:szCs w:val="24"/>
        </w:rPr>
        <w:t>乙方</w:t>
      </w:r>
      <w:r>
        <w:rPr>
          <w:rFonts w:ascii="Times New Roman" w:hAnsi="Times New Roman" w:cs="Times New Roman"/>
          <w:sz w:val="24"/>
          <w:szCs w:val="24"/>
        </w:rPr>
        <w:t>进行相关调查或</w:t>
      </w:r>
      <w:r>
        <w:rPr>
          <w:rFonts w:ascii="Times New Roman" w:hAnsi="Times New Roman" w:cs="Times New Roman" w:hint="eastAsia"/>
          <w:sz w:val="24"/>
          <w:szCs w:val="24"/>
        </w:rPr>
        <w:t>乙方</w:t>
      </w:r>
      <w:r>
        <w:rPr>
          <w:rFonts w:ascii="Times New Roman" w:hAnsi="Times New Roman" w:cs="Times New Roman"/>
          <w:sz w:val="24"/>
          <w:szCs w:val="24"/>
        </w:rPr>
        <w:t>认为甲方存在以下任一情形：</w:t>
      </w:r>
      <w:r>
        <w:rPr>
          <w:rFonts w:ascii="Times New Roman" w:hAnsi="Times New Roman" w:cs="Times New Roman"/>
          <w:sz w:val="24"/>
          <w:szCs w:val="24"/>
        </w:rPr>
        <w:t>1</w:t>
      </w:r>
      <w:r>
        <w:rPr>
          <w:rFonts w:ascii="Times New Roman" w:hAnsi="Times New Roman" w:cs="Times New Roman"/>
          <w:sz w:val="24"/>
          <w:szCs w:val="24"/>
        </w:rPr>
        <w:t>）虚假交易；</w:t>
      </w:r>
      <w:r>
        <w:rPr>
          <w:rFonts w:ascii="Times New Roman" w:hAnsi="Times New Roman" w:cs="Times New Roman"/>
          <w:sz w:val="24"/>
          <w:szCs w:val="24"/>
        </w:rPr>
        <w:t>2</w:t>
      </w:r>
      <w:r>
        <w:rPr>
          <w:rFonts w:ascii="Times New Roman" w:hAnsi="Times New Roman" w:cs="Times New Roman"/>
          <w:sz w:val="24"/>
          <w:szCs w:val="24"/>
        </w:rPr>
        <w:t>）洗钱；</w:t>
      </w:r>
      <w:r>
        <w:rPr>
          <w:rFonts w:ascii="Times New Roman" w:hAnsi="Times New Roman" w:cs="Times New Roman"/>
          <w:sz w:val="24"/>
          <w:szCs w:val="24"/>
        </w:rPr>
        <w:t>3</w:t>
      </w:r>
      <w:r>
        <w:rPr>
          <w:rFonts w:ascii="Times New Roman" w:hAnsi="Times New Roman" w:cs="Times New Roman"/>
          <w:sz w:val="24"/>
          <w:szCs w:val="24"/>
        </w:rPr>
        <w:t>）欺诈；</w:t>
      </w:r>
      <w:r>
        <w:rPr>
          <w:rFonts w:ascii="Times New Roman" w:hAnsi="Times New Roman" w:cs="Times New Roman"/>
          <w:sz w:val="24"/>
          <w:szCs w:val="24"/>
        </w:rPr>
        <w:t>4</w:t>
      </w:r>
      <w:r>
        <w:rPr>
          <w:rFonts w:ascii="Times New Roman" w:hAnsi="Times New Roman" w:cs="Times New Roman"/>
          <w:sz w:val="24"/>
          <w:szCs w:val="24"/>
        </w:rPr>
        <w:t>）违反诚信原则的行为；</w:t>
      </w:r>
      <w:r>
        <w:rPr>
          <w:rFonts w:ascii="Times New Roman" w:hAnsi="Times New Roman" w:cs="Times New Roman"/>
          <w:sz w:val="24"/>
          <w:szCs w:val="24"/>
        </w:rPr>
        <w:t>5</w:t>
      </w:r>
      <w:r>
        <w:rPr>
          <w:rFonts w:ascii="Times New Roman" w:hAnsi="Times New Roman" w:cs="Times New Roman"/>
          <w:sz w:val="24"/>
          <w:szCs w:val="24"/>
        </w:rPr>
        <w:t>）违反本协议约定；</w:t>
      </w:r>
      <w:r>
        <w:rPr>
          <w:rFonts w:ascii="Times New Roman" w:hAnsi="Times New Roman" w:cs="Times New Roman"/>
          <w:sz w:val="24"/>
          <w:szCs w:val="24"/>
        </w:rPr>
        <w:t>6</w:t>
      </w:r>
      <w:r>
        <w:rPr>
          <w:rFonts w:ascii="Times New Roman" w:hAnsi="Times New Roman" w:cs="Times New Roman"/>
          <w:sz w:val="24"/>
          <w:szCs w:val="24"/>
        </w:rPr>
        <w:t>）其他违法违规行为，</w:t>
      </w:r>
      <w:r>
        <w:rPr>
          <w:rFonts w:ascii="Times New Roman" w:hAnsi="Times New Roman" w:cs="Times New Roman" w:hint="eastAsia"/>
          <w:sz w:val="24"/>
          <w:szCs w:val="24"/>
        </w:rPr>
        <w:t>乙方</w:t>
      </w:r>
      <w:r>
        <w:rPr>
          <w:rFonts w:ascii="Times New Roman" w:hAnsi="Times New Roman" w:cs="Times New Roman"/>
          <w:sz w:val="24"/>
          <w:szCs w:val="24"/>
        </w:rPr>
        <w:t>有权暂停或终止向甲方提供手机闪付服务。</w:t>
      </w:r>
    </w:p>
    <w:p w14:paraId="5906A5BE" w14:textId="77777777" w:rsidR="003A4B75" w:rsidRDefault="00000000">
      <w:pPr>
        <w:spacing w:line="500" w:lineRule="exact"/>
        <w:ind w:firstLineChars="200" w:firstLine="482"/>
        <w:rPr>
          <w:rFonts w:ascii="Times New Roman" w:hAnsi="Times New Roman" w:cs="Times New Roman"/>
          <w:b/>
          <w:bCs/>
          <w:sz w:val="24"/>
          <w:szCs w:val="24"/>
        </w:rPr>
      </w:pPr>
      <w:r>
        <w:rPr>
          <w:rFonts w:ascii="Times New Roman" w:hAnsi="Times New Roman" w:cs="Times New Roman" w:hint="eastAsia"/>
          <w:b/>
          <w:bCs/>
          <w:sz w:val="24"/>
          <w:szCs w:val="24"/>
        </w:rPr>
        <w:t>（五）</w:t>
      </w:r>
      <w:r>
        <w:rPr>
          <w:rFonts w:ascii="Times New Roman" w:hAnsi="Times New Roman" w:cs="Times New Roman"/>
          <w:b/>
          <w:bCs/>
          <w:sz w:val="24"/>
          <w:szCs w:val="24"/>
        </w:rPr>
        <w:t>甲方理解，乙方的服务有赖于系统的准确运行及操作，若出现系统差错、故障，导致甲方不当获利等情形，甲方同意乙方有权对甲方银行账户采取更正差错、扣划款项等纠正措施而无需另行征得甲方同意。乙方应在实施纠正措施后</w:t>
      </w:r>
      <w:r>
        <w:rPr>
          <w:rFonts w:ascii="Times New Roman" w:hAnsi="Times New Roman" w:cs="Times New Roman"/>
          <w:b/>
          <w:bCs/>
          <w:sz w:val="24"/>
          <w:szCs w:val="24"/>
        </w:rPr>
        <w:t>24</w:t>
      </w:r>
      <w:r>
        <w:rPr>
          <w:rFonts w:ascii="Times New Roman" w:hAnsi="Times New Roman" w:cs="Times New Roman"/>
          <w:b/>
          <w:bCs/>
          <w:sz w:val="24"/>
          <w:szCs w:val="24"/>
        </w:rPr>
        <w:t>小时内通过短信、微信、手机银行系统等至少一种方式通知甲方</w:t>
      </w:r>
      <w:r>
        <w:rPr>
          <w:rFonts w:ascii="Times New Roman" w:hAnsi="Times New Roman" w:cs="Times New Roman" w:hint="eastAsia"/>
          <w:b/>
          <w:bCs/>
          <w:sz w:val="24"/>
          <w:szCs w:val="24"/>
        </w:rPr>
        <w:t>。</w:t>
      </w:r>
    </w:p>
    <w:p w14:paraId="1ED278CF" w14:textId="56257A52" w:rsidR="003A4B75" w:rsidRDefault="00000000">
      <w:pPr>
        <w:widowControl/>
        <w:numPr>
          <w:ilvl w:val="255"/>
          <w:numId w:val="0"/>
        </w:num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lastRenderedPageBreak/>
        <w:t>（六）</w:t>
      </w:r>
      <w:r>
        <w:rPr>
          <w:rFonts w:ascii="Times New Roman" w:hAnsi="Times New Roman" w:cs="Times New Roman"/>
          <w:sz w:val="24"/>
          <w:szCs w:val="24"/>
        </w:rPr>
        <w:t>发生不可抗力包括但不限于不能预见、不能避免</w:t>
      </w:r>
      <w:r w:rsidR="00C24AE9">
        <w:rPr>
          <w:rFonts w:ascii="Times New Roman" w:hAnsi="Times New Roman" w:cs="Times New Roman" w:hint="eastAsia"/>
          <w:sz w:val="24"/>
          <w:szCs w:val="24"/>
        </w:rPr>
        <w:t>或</w:t>
      </w:r>
      <w:r>
        <w:rPr>
          <w:rFonts w:ascii="Times New Roman" w:hAnsi="Times New Roman" w:cs="Times New Roman"/>
          <w:sz w:val="24"/>
          <w:szCs w:val="24"/>
        </w:rPr>
        <w:t>不能克服的战争、暴动、自然灾害、政府行为、社会事件等或出现监管机构紧急发布的支付业务限制政策、银行核心系统计划性升级维护、全国性或区域性金融风险处置措施等导致协议继续履行</w:t>
      </w:r>
      <w:r>
        <w:rPr>
          <w:rFonts w:ascii="Times New Roman" w:hAnsi="Times New Roman" w:cs="Times New Roman" w:hint="eastAsia"/>
          <w:sz w:val="24"/>
          <w:szCs w:val="24"/>
        </w:rPr>
        <w:t>显失</w:t>
      </w:r>
      <w:r>
        <w:rPr>
          <w:rFonts w:ascii="Times New Roman" w:hAnsi="Times New Roman" w:cs="Times New Roman"/>
          <w:sz w:val="24"/>
          <w:szCs w:val="24"/>
        </w:rPr>
        <w:t>公平或合同目的无法实现的情形，乙方暂停服务不构成违约。甲方出现损失的，乙方将积极协助甲方解决。</w:t>
      </w:r>
    </w:p>
    <w:p w14:paraId="2C054297" w14:textId="13E9EC7B" w:rsidR="003A4B75" w:rsidRDefault="00000000">
      <w:pPr>
        <w:spacing w:line="500" w:lineRule="exact"/>
        <w:ind w:firstLineChars="200" w:firstLine="482"/>
        <w:rPr>
          <w:rFonts w:ascii="Times New Roman" w:hAnsi="Times New Roman" w:cs="Times New Roman"/>
          <w:b/>
          <w:bCs/>
          <w:sz w:val="24"/>
          <w:szCs w:val="24"/>
        </w:rPr>
      </w:pPr>
      <w:r>
        <w:rPr>
          <w:rFonts w:ascii="Times New Roman" w:hAnsi="Times New Roman" w:cs="Times New Roman" w:hint="eastAsia"/>
          <w:b/>
          <w:bCs/>
          <w:sz w:val="24"/>
          <w:szCs w:val="24"/>
        </w:rPr>
        <w:t>（七）</w:t>
      </w:r>
      <w:r>
        <w:rPr>
          <w:rFonts w:ascii="Times New Roman" w:hAnsi="Times New Roman" w:cs="Times New Roman"/>
          <w:b/>
          <w:bCs/>
          <w:sz w:val="24"/>
          <w:szCs w:val="24"/>
        </w:rPr>
        <w:t>因法律法规变化、监管要求、业务调整或产品更新等原因，乙方有权变更、暂停本协议项下</w:t>
      </w:r>
      <w:r>
        <w:rPr>
          <w:rFonts w:ascii="Times New Roman" w:hAnsi="Times New Roman" w:cs="Times New Roman" w:hint="eastAsia"/>
          <w:b/>
          <w:bCs/>
          <w:sz w:val="24"/>
          <w:szCs w:val="24"/>
        </w:rPr>
        <w:t>“</w:t>
      </w:r>
      <w:r>
        <w:rPr>
          <w:rFonts w:ascii="Times New Roman" w:hAnsi="Times New Roman" w:cs="Times New Roman"/>
          <w:b/>
          <w:bCs/>
          <w:sz w:val="24"/>
          <w:szCs w:val="24"/>
        </w:rPr>
        <w:t>手机</w:t>
      </w:r>
      <w:r>
        <w:rPr>
          <w:rFonts w:ascii="Times New Roman" w:hAnsi="Times New Roman" w:cs="Times New Roman" w:hint="eastAsia"/>
          <w:b/>
          <w:bCs/>
          <w:sz w:val="24"/>
          <w:szCs w:val="24"/>
        </w:rPr>
        <w:t>闪付”</w:t>
      </w:r>
      <w:r>
        <w:rPr>
          <w:rFonts w:ascii="Times New Roman" w:hAnsi="Times New Roman" w:cs="Times New Roman"/>
          <w:b/>
          <w:bCs/>
          <w:sz w:val="24"/>
          <w:szCs w:val="24"/>
        </w:rPr>
        <w:t>业务服务，有权修改、终止本协议，于执行前通过乙方电子银行或营业网点等渠道以公告、弹窗、海报等显著方式提前</w:t>
      </w:r>
      <w:r>
        <w:rPr>
          <w:rFonts w:ascii="Times New Roman" w:hAnsi="Times New Roman" w:cs="Times New Roman"/>
          <w:b/>
          <w:bCs/>
          <w:sz w:val="24"/>
          <w:szCs w:val="24"/>
        </w:rPr>
        <w:t>7</w:t>
      </w:r>
      <w:r>
        <w:rPr>
          <w:rFonts w:ascii="Times New Roman" w:hAnsi="Times New Roman" w:cs="Times New Roman"/>
          <w:b/>
          <w:bCs/>
          <w:sz w:val="24"/>
          <w:szCs w:val="24"/>
        </w:rPr>
        <w:t>日予以公布，公示期满生效。如甲方继续办理</w:t>
      </w:r>
      <w:r>
        <w:rPr>
          <w:rFonts w:ascii="Times New Roman" w:hAnsi="Times New Roman" w:cs="Times New Roman" w:hint="eastAsia"/>
          <w:b/>
          <w:bCs/>
          <w:sz w:val="24"/>
          <w:szCs w:val="24"/>
        </w:rPr>
        <w:t>“手机闪付”</w:t>
      </w:r>
      <w:r>
        <w:rPr>
          <w:rFonts w:ascii="Times New Roman" w:hAnsi="Times New Roman" w:cs="Times New Roman"/>
          <w:b/>
          <w:bCs/>
          <w:sz w:val="24"/>
          <w:szCs w:val="24"/>
        </w:rPr>
        <w:t>业务的，视同接受有关本协议修改内容。甲方不同意的，可通过移动终端注销云卡</w:t>
      </w:r>
      <w:r>
        <w:rPr>
          <w:rFonts w:ascii="Times New Roman" w:hAnsi="Times New Roman" w:cs="Times New Roman" w:hint="eastAsia"/>
          <w:b/>
          <w:bCs/>
          <w:sz w:val="24"/>
          <w:szCs w:val="24"/>
        </w:rPr>
        <w:t>，于</w:t>
      </w:r>
      <w:r>
        <w:rPr>
          <w:rFonts w:ascii="Times New Roman" w:hAnsi="Times New Roman" w:cs="Times New Roman"/>
          <w:b/>
          <w:bCs/>
          <w:sz w:val="24"/>
          <w:szCs w:val="24"/>
        </w:rPr>
        <w:t>公告期内解除协议。</w:t>
      </w:r>
    </w:p>
    <w:p w14:paraId="6501C24D" w14:textId="77777777" w:rsidR="003A4B75" w:rsidRDefault="00000000">
      <w:pPr>
        <w:spacing w:line="500" w:lineRule="exact"/>
        <w:ind w:firstLineChars="200" w:firstLine="482"/>
        <w:rPr>
          <w:rFonts w:ascii="Times New Roman" w:hAnsi="Times New Roman" w:cs="Times New Roman"/>
          <w:b/>
          <w:bCs/>
          <w:sz w:val="24"/>
          <w:szCs w:val="24"/>
        </w:rPr>
      </w:pPr>
      <w:r>
        <w:rPr>
          <w:rFonts w:ascii="Times New Roman" w:hAnsi="Times New Roman" w:cs="Times New Roman"/>
          <w:b/>
          <w:bCs/>
          <w:sz w:val="24"/>
          <w:szCs w:val="24"/>
        </w:rPr>
        <w:t>第四条</w:t>
      </w:r>
      <w:r>
        <w:rPr>
          <w:rFonts w:ascii="Times New Roman" w:hAnsi="Times New Roman" w:cs="Times New Roman"/>
          <w:b/>
          <w:bCs/>
          <w:sz w:val="24"/>
          <w:szCs w:val="24"/>
        </w:rPr>
        <w:t xml:space="preserve"> </w:t>
      </w:r>
      <w:r>
        <w:rPr>
          <w:rFonts w:ascii="Times New Roman" w:hAnsi="Times New Roman" w:cs="Times New Roman"/>
          <w:b/>
          <w:bCs/>
          <w:sz w:val="24"/>
          <w:szCs w:val="24"/>
        </w:rPr>
        <w:t>协议的效力和生效</w:t>
      </w:r>
    </w:p>
    <w:p w14:paraId="7D157E53" w14:textId="45102689"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（一）</w:t>
      </w:r>
      <w:r>
        <w:rPr>
          <w:rFonts w:ascii="Times New Roman" w:hAnsi="Times New Roman" w:cs="Times New Roman"/>
          <w:sz w:val="24"/>
          <w:szCs w:val="24"/>
        </w:rPr>
        <w:t>本协议作为《四川农商银行电子银行服务协议》的补充内容，未尽事宜，以《四川农商银行电子银行服务协议》为准。</w:t>
      </w:r>
      <w:r>
        <w:rPr>
          <w:rFonts w:ascii="Times New Roman" w:hAnsi="Times New Roman" w:cs="Times New Roman" w:hint="eastAsia"/>
          <w:sz w:val="24"/>
          <w:szCs w:val="24"/>
        </w:rPr>
        <w:t>本协议</w:t>
      </w:r>
      <w:r>
        <w:rPr>
          <w:rFonts w:ascii="Times New Roman" w:hAnsi="Times New Roman" w:cs="Times New Roman"/>
          <w:sz w:val="24"/>
          <w:szCs w:val="24"/>
        </w:rPr>
        <w:t>与《四川农商银行电子银行服务协议》的约定不一致的，以本协议为准。</w:t>
      </w:r>
    </w:p>
    <w:p w14:paraId="494A76CC" w14:textId="17A3275F" w:rsidR="003A4B75" w:rsidRDefault="00000000">
      <w:pPr>
        <w:spacing w:line="5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（二）</w:t>
      </w:r>
      <w:r>
        <w:rPr>
          <w:rFonts w:ascii="Times New Roman" w:hAnsi="Times New Roman" w:cs="Times New Roman"/>
          <w:sz w:val="24"/>
          <w:szCs w:val="24"/>
        </w:rPr>
        <w:t>甲方对本协议所产生的任何疑问、异议，可以拨打乙方客服电话（</w:t>
      </w:r>
      <w:r>
        <w:rPr>
          <w:rFonts w:ascii="Times New Roman" w:hAnsi="Times New Roman" w:cs="Times New Roman"/>
          <w:sz w:val="24"/>
          <w:szCs w:val="24"/>
        </w:rPr>
        <w:t>028</w:t>
      </w:r>
      <w:r>
        <w:rPr>
          <w:rFonts w:ascii="Times New Roman" w:hAnsi="Times New Roman" w:cs="Times New Roman"/>
          <w:sz w:val="24"/>
          <w:szCs w:val="24"/>
        </w:rPr>
        <w:t>）</w:t>
      </w:r>
      <w:r>
        <w:rPr>
          <w:rFonts w:ascii="Times New Roman" w:hAnsi="Times New Roman" w:cs="Times New Roman"/>
          <w:sz w:val="24"/>
          <w:szCs w:val="24"/>
        </w:rPr>
        <w:t>96633</w:t>
      </w:r>
      <w:r>
        <w:rPr>
          <w:rFonts w:ascii="Times New Roman" w:hAnsi="Times New Roman" w:cs="Times New Roman"/>
          <w:sz w:val="24"/>
          <w:szCs w:val="24"/>
        </w:rPr>
        <w:t>进行咨询、投诉。若甲乙双方在本协议项下产生争议，可协商解决，不能协商解决的，任何一方有权向乙方所在地有管辖权的法院提起诉讼。诉讼期间，本协议不涉及争议的条款仍须继续履行。</w:t>
      </w:r>
    </w:p>
    <w:sectPr w:rsidR="003A4B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93076" w14:textId="77777777" w:rsidR="00B87F4B" w:rsidRDefault="00B87F4B" w:rsidP="00DD6156">
      <w:r>
        <w:separator/>
      </w:r>
    </w:p>
  </w:endnote>
  <w:endnote w:type="continuationSeparator" w:id="0">
    <w:p w14:paraId="29D780C3" w14:textId="77777777" w:rsidR="00B87F4B" w:rsidRDefault="00B87F4B" w:rsidP="00DD6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Arial Unicode MS"/>
    <w:panose1 w:val="02000000000000000000"/>
    <w:charset w:val="86"/>
    <w:family w:val="auto"/>
    <w:pitch w:val="variable"/>
    <w:sig w:usb0="A00002BF" w:usb1="38CF7CFA" w:usb2="00082016" w:usb3="00000000" w:csb0="00040001" w:csb1="00000000"/>
  </w:font>
  <w:font w:name="方正小标宋简体">
    <w:altName w:val="微软雅黑"/>
    <w:panose1 w:val="02000000000000000000"/>
    <w:charset w:val="86"/>
    <w:family w:val="auto"/>
    <w:pitch w:val="variable"/>
    <w:sig w:usb0="A00002BF" w:usb1="184F6CFA" w:usb2="00000012"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5FD85" w14:textId="77777777" w:rsidR="00B87F4B" w:rsidRDefault="00B87F4B" w:rsidP="00DD6156">
      <w:r>
        <w:separator/>
      </w:r>
    </w:p>
  </w:footnote>
  <w:footnote w:type="continuationSeparator" w:id="0">
    <w:p w14:paraId="2E8A1B06" w14:textId="77777777" w:rsidR="00B87F4B" w:rsidRDefault="00B87F4B" w:rsidP="00DD61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4905"/>
    <w:rsid w:val="000A30ED"/>
    <w:rsid w:val="001A53CF"/>
    <w:rsid w:val="001D16B5"/>
    <w:rsid w:val="001D3F0D"/>
    <w:rsid w:val="00282004"/>
    <w:rsid w:val="002D51D3"/>
    <w:rsid w:val="003A4B75"/>
    <w:rsid w:val="00400C9E"/>
    <w:rsid w:val="00434905"/>
    <w:rsid w:val="00480E78"/>
    <w:rsid w:val="005762EA"/>
    <w:rsid w:val="00681CF2"/>
    <w:rsid w:val="006A7F3C"/>
    <w:rsid w:val="007A308E"/>
    <w:rsid w:val="007B6212"/>
    <w:rsid w:val="007D644B"/>
    <w:rsid w:val="00836450"/>
    <w:rsid w:val="008615CA"/>
    <w:rsid w:val="008D4500"/>
    <w:rsid w:val="008D6298"/>
    <w:rsid w:val="008D6E7B"/>
    <w:rsid w:val="0093530E"/>
    <w:rsid w:val="009C1030"/>
    <w:rsid w:val="00B50849"/>
    <w:rsid w:val="00B87F4B"/>
    <w:rsid w:val="00C24AE9"/>
    <w:rsid w:val="00C31DDE"/>
    <w:rsid w:val="00CB2D8F"/>
    <w:rsid w:val="00CC6F54"/>
    <w:rsid w:val="00CF5CE3"/>
    <w:rsid w:val="00D353A6"/>
    <w:rsid w:val="00D44C5C"/>
    <w:rsid w:val="00D45D10"/>
    <w:rsid w:val="00DD6156"/>
    <w:rsid w:val="00E63945"/>
    <w:rsid w:val="00E76864"/>
    <w:rsid w:val="00EB643B"/>
    <w:rsid w:val="020E2058"/>
    <w:rsid w:val="040064B6"/>
    <w:rsid w:val="05216B9B"/>
    <w:rsid w:val="05C54F49"/>
    <w:rsid w:val="0836477D"/>
    <w:rsid w:val="096B5FE2"/>
    <w:rsid w:val="0BBC111B"/>
    <w:rsid w:val="11606517"/>
    <w:rsid w:val="11C269BB"/>
    <w:rsid w:val="14A37E2C"/>
    <w:rsid w:val="158402AA"/>
    <w:rsid w:val="163F0F8C"/>
    <w:rsid w:val="16503CE1"/>
    <w:rsid w:val="17820EB2"/>
    <w:rsid w:val="1D4C7A82"/>
    <w:rsid w:val="1DA13929"/>
    <w:rsid w:val="1EA33C4F"/>
    <w:rsid w:val="23A32ACD"/>
    <w:rsid w:val="26B11406"/>
    <w:rsid w:val="27717C49"/>
    <w:rsid w:val="2E3B705B"/>
    <w:rsid w:val="2F597905"/>
    <w:rsid w:val="2FAD38A9"/>
    <w:rsid w:val="33C95381"/>
    <w:rsid w:val="3578720D"/>
    <w:rsid w:val="3C1E60D8"/>
    <w:rsid w:val="3C6D5109"/>
    <w:rsid w:val="3D3103CE"/>
    <w:rsid w:val="3D9646D4"/>
    <w:rsid w:val="44E42EDB"/>
    <w:rsid w:val="489973AA"/>
    <w:rsid w:val="4A6777C1"/>
    <w:rsid w:val="4B493F60"/>
    <w:rsid w:val="4E606D65"/>
    <w:rsid w:val="4EA353E9"/>
    <w:rsid w:val="4F793370"/>
    <w:rsid w:val="50345FF7"/>
    <w:rsid w:val="504F04E7"/>
    <w:rsid w:val="55C104CB"/>
    <w:rsid w:val="571873F4"/>
    <w:rsid w:val="575431DF"/>
    <w:rsid w:val="58FC1058"/>
    <w:rsid w:val="59FB62B8"/>
    <w:rsid w:val="5D7A3273"/>
    <w:rsid w:val="5E1D0E75"/>
    <w:rsid w:val="5E6F1405"/>
    <w:rsid w:val="607057D2"/>
    <w:rsid w:val="60D86C2E"/>
    <w:rsid w:val="636C18B0"/>
    <w:rsid w:val="64520AA6"/>
    <w:rsid w:val="69456E2B"/>
    <w:rsid w:val="6D6D4BA2"/>
    <w:rsid w:val="71A022C9"/>
    <w:rsid w:val="728D5B1F"/>
    <w:rsid w:val="75C920FF"/>
    <w:rsid w:val="790E796F"/>
    <w:rsid w:val="79281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7A69DB"/>
  <w15:docId w15:val="{630CE42E-F526-4A57-BD75-CDC78545D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方正仿宋_GBK"/>
      <w:kern w:val="2"/>
      <w:sz w:val="32"/>
    </w:rPr>
  </w:style>
  <w:style w:type="paragraph" w:styleId="1">
    <w:name w:val="heading 1"/>
    <w:basedOn w:val="a"/>
    <w:next w:val="a"/>
    <w:qFormat/>
    <w:pPr>
      <w:keepNext/>
      <w:keepLines/>
      <w:spacing w:before="340" w:after="330" w:line="576" w:lineRule="auto"/>
      <w:outlineLvl w:val="0"/>
    </w:pPr>
    <w:rPr>
      <w:b/>
      <w:kern w:val="44"/>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unhideWhenUsed/>
    <w:qFormat/>
    <w:pPr>
      <w:spacing w:after="120"/>
      <w:ind w:leftChars="200" w:left="420"/>
    </w:pPr>
  </w:style>
  <w:style w:type="paragraph" w:styleId="a4">
    <w:name w:val="annotation text"/>
    <w:basedOn w:val="a"/>
    <w:qFormat/>
    <w:pPr>
      <w:jc w:val="left"/>
    </w:p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tabs>
        <w:tab w:val="center" w:pos="4153"/>
        <w:tab w:val="right" w:pos="8306"/>
      </w:tabs>
      <w:snapToGrid w:val="0"/>
      <w:jc w:val="center"/>
    </w:pPr>
    <w:rPr>
      <w:sz w:val="18"/>
      <w:szCs w:val="18"/>
    </w:rPr>
  </w:style>
  <w:style w:type="paragraph" w:customStyle="1" w:styleId="10">
    <w:name w:val="修订1"/>
    <w:hidden/>
    <w:uiPriority w:val="99"/>
    <w:unhideWhenUsed/>
    <w:qFormat/>
    <w:rPr>
      <w:rFonts w:eastAsia="方正仿宋_GBK"/>
      <w:kern w:val="2"/>
      <w:sz w:val="32"/>
    </w:rPr>
  </w:style>
  <w:style w:type="character" w:customStyle="1" w:styleId="a8">
    <w:name w:val="页眉 字符"/>
    <w:basedOn w:val="a1"/>
    <w:link w:val="a7"/>
    <w:qFormat/>
    <w:rPr>
      <w:rFonts w:eastAsia="方正仿宋_GBK"/>
      <w:kern w:val="2"/>
      <w:sz w:val="18"/>
      <w:szCs w:val="18"/>
    </w:rPr>
  </w:style>
  <w:style w:type="character" w:customStyle="1" w:styleId="a6">
    <w:name w:val="页脚 字符"/>
    <w:basedOn w:val="a1"/>
    <w:link w:val="a5"/>
    <w:qFormat/>
    <w:rPr>
      <w:rFonts w:eastAsia="方正仿宋_GBK"/>
      <w:kern w:val="2"/>
      <w:sz w:val="18"/>
      <w:szCs w:val="18"/>
    </w:rPr>
  </w:style>
  <w:style w:type="paragraph" w:customStyle="1" w:styleId="2">
    <w:name w:val="修订2"/>
    <w:hidden/>
    <w:uiPriority w:val="99"/>
    <w:unhideWhenUsed/>
    <w:rPr>
      <w:rFonts w:eastAsia="方正仿宋_GBK"/>
      <w:kern w:val="2"/>
      <w:sz w:val="32"/>
    </w:rPr>
  </w:style>
  <w:style w:type="paragraph" w:styleId="a9">
    <w:name w:val="Revision"/>
    <w:hidden/>
    <w:uiPriority w:val="99"/>
    <w:unhideWhenUsed/>
    <w:rsid w:val="001D16B5"/>
    <w:rPr>
      <w:rFonts w:eastAsia="方正仿宋_GBK"/>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429</Words>
  <Characters>2449</Characters>
  <Application>Microsoft Office Word</Application>
  <DocSecurity>0</DocSecurity>
  <Lines>20</Lines>
  <Paragraphs>5</Paragraphs>
  <ScaleCrop>false</ScaleCrop>
  <Company/>
  <LinksUpToDate>false</LinksUpToDate>
  <CharactersWithSpaces>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陈 陈</cp:lastModifiedBy>
  <cp:revision>18</cp:revision>
  <dcterms:created xsi:type="dcterms:W3CDTF">2024-01-29T01:42:00Z</dcterms:created>
  <dcterms:modified xsi:type="dcterms:W3CDTF">2025-11-20T02:00:00Z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4E6B705DAD504FF0A98ED8890D7B1A2D_12</vt:lpwstr>
  </property>
  <property fmtid="{D5CDD505-2E9C-101B-9397-08002B2CF9AE}" pid="4" name="KSOTemplateDocerSaveRecord">
    <vt:lpwstr>eyJoZGlkIjoiMDg0ZmEzMzBlMzRmZTkxNzkzM2QxNTY1ZWNiNWI4OWEiLCJ1c2VySWQiOiIyNjU5NzQ2NTQifQ==</vt:lpwstr>
  </property>
</Properties>
</file>